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6" w:after="6"/>
        <w:rPr>
          <w:rFonts w:ascii="Century Gothic" w:hAnsi="Century Gothic"/>
          <w:b/>
        </w:rPr>
      </w:pPr>
    </w:p>
    <w:p>
      <w:pPr>
        <w:spacing w:before="6" w:after="6"/>
        <w:rPr>
          <w:rFonts w:ascii="Century Gothic" w:hAnsi="Century Gothic"/>
          <w:b/>
        </w:rPr>
      </w:pPr>
      <w:r>
        <w:rPr>
          <w:rFonts w:ascii="Century Gothic" w:hAnsi="Century Gothic"/>
          <w:b/>
        </w:rPr>
        <w:t>MEDIA RELEASE</w:t>
      </w:r>
    </w:p>
    <w:p>
      <w:pPr>
        <w:spacing w:before="6" w:after="6"/>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February 2015</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pPr>
        <w:spacing w:before="6" w:after="6"/>
        <w:jc w:val="center"/>
        <w:rPr>
          <w:rFonts w:ascii="Century Gothic" w:hAnsi="Century Gothic"/>
          <w:b/>
        </w:rPr>
      </w:pPr>
      <w:r>
        <w:rPr>
          <w:rFonts w:ascii="AvantGarde" w:hAnsi="AvantGarde"/>
          <w:b/>
          <w:bCs/>
          <w:color w:val="012169"/>
          <w:sz w:val="24"/>
          <w:szCs w:val="24"/>
        </w:rPr>
        <w:t xml:space="preserve">What do shower curtains, smoke alarms and garbage bins </w:t>
      </w:r>
      <w:r>
        <w:rPr>
          <w:rFonts w:ascii="AvantGarde" w:hAnsi="AvantGarde"/>
          <w:b/>
          <w:bCs/>
          <w:color w:val="012169"/>
          <w:sz w:val="24"/>
          <w:szCs w:val="24"/>
        </w:rPr>
        <w:br/>
        <w:t>have in common?</w:t>
      </w:r>
    </w:p>
    <w:p>
      <w:pPr>
        <w:spacing w:before="6" w:after="6"/>
        <w:jc w:val="both"/>
        <w:rPr>
          <w:rFonts w:ascii="Century Gothic" w:hAnsi="Century Gothic"/>
        </w:rPr>
      </w:pPr>
    </w:p>
    <w:p>
      <w:pPr>
        <w:spacing w:before="6" w:after="6"/>
        <w:jc w:val="both"/>
        <w:rPr>
          <w:rFonts w:ascii="Century Gothic" w:hAnsi="Century Gothic"/>
          <w:sz w:val="2"/>
        </w:rPr>
      </w:pPr>
    </w:p>
    <w:p>
      <w:pPr>
        <w:spacing w:before="120" w:after="120" w:line="360" w:lineRule="auto"/>
        <w:jc w:val="both"/>
        <w:rPr>
          <w:rFonts w:ascii="Century Gothic" w:hAnsi="Century Gothic"/>
          <w:sz w:val="20"/>
          <w:szCs w:val="20"/>
        </w:rPr>
      </w:pPr>
      <w:r>
        <w:rPr>
          <w:rFonts w:ascii="Century Gothic" w:hAnsi="Century Gothic"/>
          <w:sz w:val="20"/>
          <w:szCs w:val="20"/>
        </w:rPr>
        <w:t>BMT, Australia’s leading tax depreciation specialists, believes Australian property investors may be unaware of the significant cash flow available to them through depreciation of both common, and hidden, household items.</w:t>
      </w:r>
    </w:p>
    <w:p>
      <w:pPr>
        <w:spacing w:before="120" w:after="120" w:line="360" w:lineRule="auto"/>
        <w:jc w:val="both"/>
        <w:rPr>
          <w:rFonts w:ascii="Century Gothic" w:hAnsi="Century Gothic"/>
          <w:sz w:val="20"/>
          <w:szCs w:val="20"/>
        </w:rPr>
      </w:pPr>
      <w:r>
        <w:rPr>
          <w:rFonts w:ascii="Century Gothic" w:hAnsi="Century Gothic"/>
          <w:sz w:val="20"/>
          <w:szCs w:val="20"/>
        </w:rPr>
        <w:t>These household assets, which can include such items as shower curtains, smoke alarms and lawnmowers, can actually increase the cash flow generated by a property by around 15 per cent.</w:t>
      </w:r>
    </w:p>
    <w:p>
      <w:pPr>
        <w:spacing w:before="120" w:after="120" w:line="360" w:lineRule="auto"/>
        <w:jc w:val="both"/>
        <w:rPr>
          <w:rFonts w:ascii="Century Gothic" w:hAnsi="Century Gothic"/>
          <w:sz w:val="20"/>
          <w:szCs w:val="20"/>
        </w:rPr>
      </w:pPr>
      <w:r>
        <w:rPr>
          <w:rFonts w:ascii="Century Gothic" w:hAnsi="Century Gothic"/>
          <w:sz w:val="20"/>
          <w:szCs w:val="20"/>
        </w:rPr>
        <w:t>“Property investors tend to focus on the larger ticket depreciation items available, such as the structure of the house and large plant items in the house,” said BMT managing director, Brad Beer.</w:t>
      </w:r>
    </w:p>
    <w:p>
      <w:pPr>
        <w:spacing w:before="120" w:after="120" w:line="360" w:lineRule="auto"/>
        <w:jc w:val="both"/>
        <w:rPr>
          <w:rFonts w:ascii="Century Gothic" w:hAnsi="Century Gothic"/>
          <w:sz w:val="20"/>
          <w:szCs w:val="20"/>
        </w:rPr>
      </w:pPr>
      <w:r>
        <w:rPr>
          <w:rFonts w:ascii="Century Gothic" w:hAnsi="Century Gothic"/>
          <w:sz w:val="20"/>
          <w:szCs w:val="20"/>
        </w:rPr>
        <w:t>“However it’s often the smaller items which can make a significant difference to an investor’s cash flow.</w:t>
      </w:r>
    </w:p>
    <w:p>
      <w:pPr>
        <w:spacing w:before="120" w:after="120" w:line="360" w:lineRule="auto"/>
        <w:jc w:val="both"/>
        <w:rPr>
          <w:rFonts w:ascii="Century Gothic" w:hAnsi="Century Gothic"/>
          <w:sz w:val="20"/>
          <w:szCs w:val="20"/>
        </w:rPr>
      </w:pPr>
      <w:r>
        <w:rPr>
          <w:rFonts w:ascii="Century Gothic" w:hAnsi="Century Gothic"/>
          <w:sz w:val="20"/>
          <w:szCs w:val="20"/>
        </w:rPr>
        <w:t>“Property investors can often name a few depreciable items, such as carpet, hot water systems and light fittings, but a range of less obvious items, such as garbage bins, exhaust fans or smoke alarms, are often overlooked.”</w:t>
      </w:r>
    </w:p>
    <w:p>
      <w:pPr>
        <w:spacing w:before="120" w:after="120" w:line="360" w:lineRule="auto"/>
        <w:jc w:val="both"/>
        <w:rPr>
          <w:rFonts w:ascii="Century Gothic" w:hAnsi="Century Gothic"/>
          <w:sz w:val="20"/>
          <w:szCs w:val="20"/>
        </w:rPr>
      </w:pPr>
      <w:r>
        <w:rPr>
          <w:rFonts w:ascii="Century Gothic" w:hAnsi="Century Gothic"/>
          <w:sz w:val="20"/>
          <w:szCs w:val="20"/>
        </w:rPr>
        <w:t>According to Brad Beer, some of the items found inside a property which are most frequently overlooked include freestanding bathroom accessories, smoke alarms, door closers and shower curtains.</w:t>
      </w:r>
    </w:p>
    <w:p>
      <w:pPr>
        <w:spacing w:before="120" w:after="120" w:line="360" w:lineRule="auto"/>
        <w:jc w:val="both"/>
        <w:rPr>
          <w:rFonts w:ascii="Century Gothic" w:hAnsi="Century Gothic"/>
          <w:sz w:val="20"/>
          <w:szCs w:val="20"/>
        </w:rPr>
      </w:pPr>
      <w:r>
        <w:rPr>
          <w:rFonts w:ascii="Century Gothic" w:hAnsi="Century Gothic"/>
          <w:sz w:val="20"/>
          <w:szCs w:val="20"/>
        </w:rPr>
        <w:t>Outdoors, synthetic lawns, roller door motors, swimming pool cleaning systems and tennis court nets also often go unnoticed as possible sources of savings for investors.</w:t>
      </w:r>
    </w:p>
    <w:p>
      <w:pPr>
        <w:spacing w:before="120" w:after="120" w:line="360" w:lineRule="auto"/>
        <w:jc w:val="both"/>
        <w:rPr>
          <w:rFonts w:ascii="Century Gothic" w:hAnsi="Century Gothic"/>
          <w:sz w:val="20"/>
          <w:szCs w:val="20"/>
        </w:rPr>
      </w:pPr>
      <w:r>
        <w:rPr>
          <w:rFonts w:ascii="Century Gothic" w:hAnsi="Century Gothic"/>
          <w:sz w:val="20"/>
          <w:szCs w:val="20"/>
        </w:rPr>
        <w:t>“Though larger assets, such as refrigerators, stoves and washing machines, can have a larger impact on cash flow, smaller items, such as microwave ovens or video recorders, can all certainly add up,” continued Brad Beer.</w:t>
      </w:r>
    </w:p>
    <w:p>
      <w:pPr>
        <w:spacing w:before="120" w:after="120" w:line="360" w:lineRule="auto"/>
        <w:jc w:val="both"/>
        <w:rPr>
          <w:rFonts w:ascii="Century Gothic" w:hAnsi="Century Gothic"/>
          <w:sz w:val="20"/>
          <w:szCs w:val="20"/>
        </w:rPr>
      </w:pPr>
      <w:r>
        <w:rPr>
          <w:rFonts w:ascii="Century Gothic" w:hAnsi="Century Gothic"/>
          <w:sz w:val="20"/>
          <w:szCs w:val="20"/>
        </w:rPr>
        <w:t>“This is one of the reasons why I recommend all investors engage the services of a qualified quantity surveyor to create a deprecation schedule for their property.</w:t>
      </w:r>
    </w:p>
    <w:p>
      <w:pPr>
        <w:spacing w:before="120" w:after="120" w:line="360" w:lineRule="auto"/>
        <w:jc w:val="both"/>
        <w:rPr>
          <w:rFonts w:ascii="Century Gothic" w:hAnsi="Century Gothic"/>
          <w:sz w:val="20"/>
          <w:szCs w:val="20"/>
        </w:rPr>
      </w:pPr>
      <w:r>
        <w:rPr>
          <w:rFonts w:ascii="Century Gothic" w:hAnsi="Century Gothic"/>
          <w:sz w:val="20"/>
          <w:szCs w:val="20"/>
        </w:rPr>
        <w:t>“A qualified quantity surveyor will be able to compile a list of all of the plant and equipment deductions available on a property,” concluded Brad Beer.</w:t>
      </w:r>
    </w:p>
    <w:p>
      <w:pPr>
        <w:spacing w:before="6" w:after="6"/>
        <w:jc w:val="center"/>
        <w:rPr>
          <w:rFonts w:ascii="Century Gothic" w:hAnsi="Century Gothic"/>
          <w:b/>
          <w:bCs/>
        </w:rPr>
      </w:pPr>
      <w:r>
        <w:rPr>
          <w:rFonts w:ascii="Century Gothic" w:hAnsi="Century Gothic"/>
          <w:b/>
          <w:bCs/>
        </w:rPr>
        <w:lastRenderedPageBreak/>
        <w:t>*ENDS*</w:t>
      </w:r>
    </w:p>
    <w:p>
      <w:pPr>
        <w:rPr>
          <w:rStyle w:val="Hyperlink"/>
          <w:rFonts w:ascii="Century Gothic" w:hAnsi="Century Gothic"/>
          <w:color w:val="000000" w:themeColor="text1"/>
        </w:rPr>
      </w:pPr>
      <w:r>
        <w:rPr>
          <w:rFonts w:ascii="Century Gothic" w:hAnsi="Century Gothic"/>
          <w:b/>
        </w:rPr>
        <w:br/>
        <w:t>Media contact:</w:t>
      </w:r>
      <w:r>
        <w:rPr>
          <w:rFonts w:ascii="Century Gothic" w:hAnsi="Century Gothic"/>
        </w:rPr>
        <w:t xml:space="preserve"> Brad Beer, 0413 271 777, </w:t>
      </w:r>
      <w:hyperlink r:id="rId7" w:history="1">
        <w:r>
          <w:rPr>
            <w:rStyle w:val="Hyperlink"/>
            <w:rFonts w:ascii="Century Gothic" w:hAnsi="Century Gothic"/>
          </w:rPr>
          <w:t>brad.beer@bmtnews.com.au</w:t>
        </w:r>
      </w:hyperlink>
      <w:r>
        <w:rPr>
          <w:rFonts w:ascii="Century Gothic" w:hAnsi="Century Gothic"/>
        </w:rPr>
        <w:br/>
      </w:r>
    </w:p>
    <w:p>
      <w:pPr>
        <w:spacing w:before="0" w:after="0"/>
        <w:rPr>
          <w:rStyle w:val="Hyperlink"/>
          <w:rFonts w:ascii="Century Gothic" w:hAnsi="Century Gothic"/>
          <w:b/>
          <w:color w:val="000000" w:themeColor="text1"/>
        </w:rPr>
      </w:pPr>
      <w:r>
        <w:rPr>
          <w:rStyle w:val="Hyperlink"/>
          <w:rFonts w:ascii="Century Gothic" w:hAnsi="Century Gothic"/>
          <w:b/>
          <w:color w:val="000000" w:themeColor="text1"/>
        </w:rPr>
        <w:t>About BMT Tax Depreciation</w:t>
      </w:r>
    </w:p>
    <w:p>
      <w:pPr>
        <w:jc w:val="both"/>
        <w:rPr>
          <w:rStyle w:val="Hyperlink"/>
          <w:rFonts w:ascii="Century Gothic" w:hAnsi="Century Gothic"/>
          <w:color w:val="000000" w:themeColor="text1"/>
        </w:rPr>
      </w:pPr>
    </w:p>
    <w:p>
      <w:pPr>
        <w:spacing w:line="360" w:lineRule="auto"/>
        <w:jc w:val="both"/>
        <w:rPr>
          <w:rFonts w:ascii="Century Gothic" w:hAnsi="Century Gothic"/>
          <w:sz w:val="20"/>
          <w:szCs w:val="20"/>
        </w:rPr>
      </w:pPr>
      <w:r>
        <w:rPr>
          <w:rStyle w:val="Hyperlink"/>
          <w:rFonts w:ascii="Century Gothic" w:hAnsi="Century Gothic"/>
          <w:color w:val="000000" w:themeColor="text1"/>
          <w:sz w:val="20"/>
          <w:szCs w:val="20"/>
        </w:rPr>
        <w:t xml:space="preserve">BMT </w:t>
      </w:r>
      <w:r>
        <w:rPr>
          <w:rFonts w:ascii="Century Gothic" w:hAnsi="Century Gothic"/>
          <w:sz w:val="20"/>
          <w:szCs w:val="20"/>
        </w:rPr>
        <w:t xml:space="preserve">Tax Depreciation (BMT) </w:t>
      </w:r>
      <w:r>
        <w:rPr>
          <w:rStyle w:val="Hyperlink"/>
          <w:rFonts w:ascii="Century Gothic" w:hAnsi="Century Gothic"/>
          <w:color w:val="000000" w:themeColor="text1"/>
          <w:sz w:val="20"/>
          <w:szCs w:val="20"/>
        </w:rPr>
        <w:t>is a Quantity Surveying company specialising in the provision of tax depreciation schedules for residential and commercial investment properties. Commencing business in 1997</w:t>
      </w:r>
      <w:r>
        <w:rPr>
          <w:rFonts w:ascii="Century Gothic" w:hAnsi="Century Gothic"/>
          <w:sz w:val="20"/>
          <w:szCs w:val="20"/>
        </w:rPr>
        <w:t>, demand from property investors nationally has seen business expand Australia-wide with offices now located in Sydney, Parramatta, Melbourne, Brisbane, Newcastle, Adelaide, Perth, Gold Coast, Cairns, Canberra, Hobart and Darwin.</w:t>
      </w:r>
      <w:bookmarkStart w:id="0" w:name="_GoBack"/>
      <w:bookmarkEnd w:id="0"/>
    </w:p>
    <w:sectPr>
      <w:headerReference w:type="default" r:id="rId8"/>
      <w:footerReference w:type="default" r:id="rId9"/>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before="0"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671222653">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beer@bmtnews.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29E12-5F57-42E3-B4A3-C4BD9822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Rani Bonwick</cp:lastModifiedBy>
  <cp:revision>4</cp:revision>
  <cp:lastPrinted>2014-03-13T22:19:00Z</cp:lastPrinted>
  <dcterms:created xsi:type="dcterms:W3CDTF">2015-02-18T05:57:00Z</dcterms:created>
  <dcterms:modified xsi:type="dcterms:W3CDTF">2015-05-21T06:58:00Z</dcterms:modified>
</cp:coreProperties>
</file>